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INFORMACJA O PRZETWARZANIU DANYCH OSOBOWYCH</w:t>
      </w:r>
    </w:p>
    <w:p>
      <w:pPr>
        <w:pStyle w:val="Normal"/>
        <w:spacing w:before="0" w:after="0"/>
        <w:ind w:left="-142" w:right="-142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39"/>
        <w:gridCol w:w="6422"/>
      </w:tblGrid>
      <w:tr>
        <w:trPr>
          <w:trHeight w:val="916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Administratorem Pana/Pani danych osobowych, w tym w zakresie wizerunku (zwanych łącznie „danymi osobowymi”) jest </w:t>
            </w:r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Z kim można się kontaktować w sprawie przetwarzania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We wszystkich sprawach związanych z ochroną i przetwarzaniem danych osobowych może się Pan/Pani kontaktować z 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Kontakt: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189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jakim celu i na jakiej podstawie będą przetwarzane dane osobowe?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Dane osobowe będą przetwarzane w celu realizacji działań informacyjnych i promocyjnych Administratora  w przestrzeni publicznej i w mediach, m.in. poprzez ich umieszczanie na stronie internetowej oraz profilach w mediach społecznościowych prowadzonych przez Administratora.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 xml:space="preserve">Podstawą prawną przetwarzania danych osobowych będzie wyrażona przez Pana/Panią zgoda </w:t>
            </w:r>
            <w:r>
              <w:rPr>
                <w:rFonts w:cs="Arial" w:ascii="Arial" w:hAnsi="Arial"/>
                <w:b/>
              </w:rPr>
              <w:t>(art. 6 ust.1 lit. a RODO)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przechowywane przez Administratora nie dłużej niż przez okres niezbędny do realizacji celu, dla którego zostały zebrane, przy uwzględnieniu jednocześnie okresu obowiązywania wyrażonej zgody.</w:t>
            </w:r>
            <w:r>
              <w:rPr>
                <w:rFonts w:cs="Arial" w:ascii="Arial" w:hAnsi="Arial"/>
                <w:color w:val="000000"/>
              </w:rPr>
              <w:t xml:space="preserve"> Ze względu na fakt ich upublicznienia, ich usunięcie z dostępnych publicznie źródeł może być niemożliwe.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 odbiorcom materiałów promocyjnych i informacyjnych, podmiotom zapewniającym obsługę prawną i księgową oraz podmiotom uprawnionym do tego na mocy odrębnych przepisów prawa.</w:t>
            </w:r>
          </w:p>
        </w:tc>
      </w:tr>
      <w:tr>
        <w:trPr>
          <w:trHeight w:val="145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Jakie prawa przysługują w związku z ochroną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Zgoda na przetwarzanie danych osobowych może zostać cofnięta w dowolnym momencie bez wpływu na zgodność z prawem przetwarzania, którego dokonano na podstawie zgody przed jej cofnięciem.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Osoby, których dane dotyczą mają prawo do: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nie są niezbędne do celów, dla których zostały zebrane,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cofnięciu zgody na przetwarzanie danych osobowych,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przetwarzane są niezgodnie z prawem;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przetwarzanie jest niezgodne z prawem, a osoby te sprzeciwiają się usunięciu danych osobowych,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>
            <w:pPr>
              <w:pStyle w:val="ListParagraph"/>
              <w:spacing w:lineRule="auto" w:line="240" w:before="0" w:after="0"/>
              <w:ind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Przysługuje Panu/Pani również prawo do  wniesienia skargi do organu nadzorczego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 profilowania?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podawanie danych osobowych jest konieczne?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danych osobowych jest dobrowolne.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851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i/>
        <w:i/>
        <w:iCs/>
        <w:color w:themeColor="background1" w:themeShade="a6" w:val="A6A6A6"/>
        <w:sz w:val="16"/>
        <w:szCs w:val="16"/>
      </w:rPr>
    </w:pPr>
    <w:r>
      <w:rPr>
        <w:rFonts w:cs="Arial" w:ascii="Arial" w:hAnsi="Arial"/>
        <w:i/>
        <w:iCs/>
        <w:color w:themeColor="background1" w:themeShade="a6" w:val="A6A6A6"/>
        <w:sz w:val="16"/>
        <w:szCs w:val="16"/>
      </w:rPr>
      <w:t>Klauzula informacyjna_wizerunek osób innych niż dzieci (dla drugiego rodzica, babci, dziadka i innych osób)_wersja podstawowa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6ef2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86ef2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82425c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82425c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86ef2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242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82425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2</Pages>
  <Words>505</Words>
  <Characters>3294</Characters>
  <CharactersWithSpaces>3761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2023-07-26T08:07:00Z</dcterms:created>
  <dc:creator>monkoc</dc:creator>
  <dc:description/>
  <dc:language>pl-PL</dc:language>
  <cp:lastModifiedBy/>
  <cp:lastPrinted>2023-07-26T09:24:00Z</cp:lastPrinted>
  <dcterms:modified xsi:type="dcterms:W3CDTF">2026-02-04T15:26:14Z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